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accounting-point-grid-location"/>
    <w:p>
      <w:pPr>
        <w:pStyle w:val="Overskrift1"/>
      </w:pPr>
      <w:r>
        <w:t xml:space="preserve">Accounting Point Grid Location</w:t>
      </w:r>
    </w:p>
    <w:p>
      <w:pPr>
        <w:pStyle w:val="FirstParagraph"/>
      </w:pPr>
      <w:r>
        <w:t xml:space="preserve">The electrical (topological) location of an accounting point in the common grid</w:t>
      </w:r>
      <w:r>
        <w:t xml:space="preserve"> </w:t>
      </w:r>
      <w:r>
        <w:t xml:space="preserve">model (</w:t>
      </w:r>
      <w:hyperlink r:id="rId20">
        <w:r>
          <w:rPr>
            <w:rStyle w:val="Hyperkobling"/>
          </w:rPr>
          <w:t xml:space="preserve">Nemo</w:t>
        </w:r>
      </w:hyperlink>
      <w:r>
        <w:t xml:space="preserve">). Since a controllable unit is</w:t>
      </w:r>
      <w:r>
        <w:t xml:space="preserve"> </w:t>
      </w:r>
      <w:r>
        <w:t xml:space="preserve">always behind an accounting point, this also gives the grid location for all</w:t>
      </w:r>
      <w:r>
        <w:t xml:space="preserve"> </w:t>
      </w:r>
      <w:r>
        <w:t xml:space="preserve">controllable units connected to that accounting point.</w:t>
      </w:r>
    </w:p>
    <w:p>
      <w:pPr>
        <w:pStyle w:val="BodyText"/>
      </w:pPr>
      <w:r>
        <w:t xml:space="preserve">The connecting system operator (CSO) is responsible for registering and</w:t>
      </w:r>
      <w:r>
        <w:t xml:space="preserve"> </w:t>
      </w:r>
      <w:r>
        <w:t xml:space="preserve">maintaining the grid location. Another system operator may also register a grid</w:t>
      </w:r>
      <w:r>
        <w:t xml:space="preserve"> </w:t>
      </w:r>
      <w:r>
        <w:t xml:space="preserve">location, but only when the current entry is missing or has been set by the</w:t>
      </w:r>
      <w:r>
        <w:t xml:space="preserve"> </w:t>
      </w:r>
      <w:r>
        <w:t xml:space="preserve">system or guessed by another system operator.</w:t>
      </w:r>
    </w:p>
    <w:p>
      <w:pPr>
        <w:pStyle w:val="BodyText"/>
      </w:pPr>
      <w:r>
        <w:t xml:space="preserve">For more information about how grid location works and the data model behind it,</w:t>
      </w:r>
      <w:r>
        <w:t xml:space="preserve"> </w:t>
      </w:r>
      <w:r>
        <w:t xml:space="preserve">see</w:t>
      </w:r>
      <w:r>
        <w:t xml:space="preserve"> </w:t>
      </w:r>
      <w:hyperlink r:id="rId21">
        <w:r>
          <w:rPr>
            <w:rStyle w:val="Hyperkobling"/>
          </w:rPr>
          <w:t xml:space="preserve">Accounting Point Grid Location</w:t>
        </w:r>
      </w:hyperlink>
      <w:r>
        <w:t xml:space="preserve">.</w:t>
      </w:r>
    </w:p>
    <w:bookmarkStart w:id="24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kobling"/>
          </w:rPr>
          <w:t xml:space="preserve">Download docx</w:t>
        </w:r>
      </w:hyperlink>
    </w:p>
    <w:bookmarkEnd w:id="24"/>
    <w:bookmarkStart w:id="26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4"/>
        <w:gridCol w:w="3454"/>
        <w:gridCol w:w="1727"/>
        <w:gridCol w:w="9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key.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  <w:r>
              <w:t xml:space="preserve">The accounting point this grid location belongs to.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kobling"/>
                </w:rPr>
                <w:t xml:space="preserve">accounting_point.id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object_type</w:t>
            </w:r>
          </w:p>
        </w:tc>
        <w:tc>
          <w:tcPr/>
          <w:p>
            <w:pPr>
              <w:pStyle w:val="Compact"/>
            </w:pPr>
            <w:r>
              <w:t xml:space="preserve">The type of object in the common grid model that the accounting point is at.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substation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transformer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  <w:r>
              <w:t xml:space="preserve">Business identifier (mRID) referencing the object in the common grid model.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^[0-9a-fA-F]{8}-[0-9a-fA-F]{4}-[0-9a-fA-F]{4}-[0-9a-fA-F]{4}-[0-9a-fA-F]{12}$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Name of the grid model object at the location.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Required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512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nominal_voltage</w:t>
            </w:r>
          </w:p>
        </w:tc>
        <w:tc>
          <w:tcPr/>
          <w:p>
            <w:pPr>
              <w:pStyle w:val="Compact"/>
            </w:pPr>
            <w:r>
              <w:t xml:space="preserve">Nominal voltage level at the grid location, in kilovolt (kV).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  <w:r>
              <w:t xml:space="preserve">Required</w:t>
            </w:r>
            <w:r>
              <w:t xml:space="preserve">Min:</w:t>
            </w:r>
            <w:r>
              <w:t xml:space="preserve"> </w:t>
            </w:r>
            <w:r>
              <w:rPr>
                <w:rStyle w:val="VerbatimChar"/>
              </w:rPr>
              <w:t xml:space="preserve">0</w:t>
            </w:r>
            <w:r>
              <w:t xml:space="preserve">Max:</w:t>
            </w:r>
            <w:r>
              <w:t xml:space="preserve"> </w:t>
            </w:r>
            <w:r>
              <w:rPr>
                <w:rStyle w:val="VerbatimChar"/>
              </w:rPr>
              <w:t xml:space="preserve">999999.999</w:t>
            </w:r>
            <w:r>
              <w:t xml:space="preserve">Multiple of:</w:t>
            </w:r>
            <w:r>
              <w:t xml:space="preserve"> </w:t>
            </w:r>
            <w:r>
              <w:rPr>
                <w:rStyle w:val="VerbatimChar"/>
              </w:rPr>
              <w:t xml:space="preserve">0.001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additional_information</w:t>
            </w:r>
          </w:p>
        </w:tc>
        <w:tc>
          <w:tcPr/>
          <w:p>
            <w:pPr>
              <w:pStyle w:val="Compact"/>
            </w:pPr>
            <w:r>
              <w:t xml:space="preserve">Free text field for extra information about the grid location if needed.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How the grid location was determined. When a system operator creates or updates a grid location, this field is set automatically:</w:t>
            </w:r>
            <w:r>
              <w:t xml:space="preserve"> </w:t>
            </w:r>
            <w:r>
              <w:rPr>
                <w:rStyle w:val="VerbatimChar"/>
              </w:rPr>
              <w:t xml:space="preserve">cso</w:t>
            </w:r>
            <w:r>
              <w:t xml:space="preserve"> </w:t>
            </w:r>
            <w:r>
              <w:t xml:space="preserve">if the SO is the connecting system operator,</w:t>
            </w:r>
            <w:r>
              <w:t xml:space="preserve"> </w:t>
            </w:r>
            <w:r>
              <w:rPr>
                <w:rStyle w:val="VerbatimChar"/>
              </w:rPr>
              <w:t xml:space="preserve">so</w:t>
            </w:r>
            <w:r>
              <w:t xml:space="preserve"> </w:t>
            </w:r>
            <w:r>
              <w:t xml:space="preserve">otherwise.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cso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grid_model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system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quality</w:t>
            </w:r>
          </w:p>
        </w:tc>
        <w:tc>
          <w:tcPr/>
          <w:p>
            <w:pPr>
              <w:pStyle w:val="Compact"/>
            </w:pPr>
            <w:r>
              <w:t xml:space="preserve">The quality of the grid location registration.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confirmed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guessed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8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79"/>
        <w:gridCol w:w="6291"/>
        <w:gridCol w:w="4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APGL-VAL001</w:t>
            </w:r>
          </w:p>
        </w:tc>
        <w:tc>
          <w:tcPr/>
          <w:p>
            <w:pPr>
              <w:pStyle w:val="Compact"/>
            </w:pPr>
            <w:r>
              <w:t xml:space="preserve">Updates to the grid location are only allowed based on the current</w:t>
            </w:r>
            <w:r>
              <w:t xml:space="preserve"> </w:t>
            </w:r>
            <w:r>
              <w:rPr>
                <w:rStyle w:val="VerbatimChar"/>
              </w:rPr>
              <w:t xml:space="preserve">source</w:t>
            </w:r>
            <w:r>
              <w:t xml:space="preserve"> </w:t>
            </w:r>
            <w:r>
              <w:t xml:space="preserve">value. See transition table below.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APGL-VAL002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quality=confirmed</w:t>
            </w:r>
            <w:r>
              <w:t xml:space="preserve"> </w:t>
            </w:r>
            <w:r>
              <w:t xml:space="preserve">is only permitted when</w:t>
            </w:r>
            <w:r>
              <w:t xml:space="preserve"> </w:t>
            </w:r>
            <w:r>
              <w:rPr>
                <w:rStyle w:val="VerbatimChar"/>
              </w:rPr>
              <w:t xml:space="preserve">source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rStyle w:val="VerbatimChar"/>
              </w:rPr>
              <w:t xml:space="preserve">cso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so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rStyle w:val="VerbatimChar"/>
              </w:rPr>
              <w:t xml:space="preserve">grid_model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Start w:id="27" w:name="apgl-val001-source-transition-table"/>
    <w:p>
      <w:pPr>
        <w:pStyle w:val="Overskrift3"/>
      </w:pPr>
      <w:r>
        <w:t xml:space="preserve">APGL-VAL001 source transition table</w:t>
      </w:r>
    </w:p>
    <w:p>
      <w:pPr>
        <w:pStyle w:val="FirstParagraph"/>
      </w:pPr>
      <w:r>
        <w:t xml:space="preserve">The table shows which new</w:t>
      </w:r>
      <w:r>
        <w:t xml:space="preserve"> </w:t>
      </w:r>
      <w:r>
        <w:rPr>
          <w:rStyle w:val="VerbatimChar"/>
        </w:rPr>
        <w:t xml:space="preserve">source</w:t>
      </w:r>
      <w:r>
        <w:t xml:space="preserve"> </w:t>
      </w:r>
      <w:r>
        <w:t xml:space="preserve">values are permitted given the current value</w:t>
      </w:r>
      <w:r>
        <w:t xml:space="preserve"> </w:t>
      </w:r>
      <w:r>
        <w:t xml:space="preserve">of the record.</w:t>
      </w:r>
      <w:r>
        <w:t xml:space="preserve"> </w:t>
      </w:r>
      <w:r>
        <w:rPr>
          <w:rStyle w:val="VerbatimChar"/>
        </w:rPr>
        <w:t xml:space="preserve">yes</w:t>
      </w:r>
      <w:r>
        <w:t xml:space="preserve"> </w:t>
      </w:r>
      <w:r>
        <w:t xml:space="preserve">means the transition is allowed,</w:t>
      </w:r>
      <w:r>
        <w:t xml:space="preserve"> </w:t>
      </w:r>
      <w:r>
        <w:rPr>
          <w:rStyle w:val="VerbatimChar"/>
        </w:rPr>
        <w:t xml:space="preserve">no</w:t>
      </w:r>
      <w:r>
        <w:t xml:space="preserve"> </w:t>
      </w:r>
      <w:r>
        <w:t xml:space="preserve">means it is denied.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Current ↓  New →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grid_model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grid_model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missing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bookmarkEnd w:id="27"/>
    <w:bookmarkEnd w:id="28"/>
    <w:bookmarkStart w:id="29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</w:t>
            </w:r>
          </w:p>
        </w:tc>
        <w:tc>
          <w:tcPr/>
          <w:p>
            <w:pPr>
              <w:pStyle w:val="Compact"/>
            </w:pPr>
            <w:r>
              <w:t xml:space="preserve">Connecting SO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create, update</w:t>
            </w:r>
          </w:p>
        </w:tc>
        <w:tc>
          <w:tcPr/>
          <w:p>
            <w:pPr>
              <w:pStyle w:val="Compact"/>
            </w:pPr>
            <w:r>
              <w:t xml:space="preserve">Procuring SO on CU</w:t>
            </w: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44" w:name="authorization"/>
    <w:p>
      <w:pPr>
        <w:pStyle w:val="Overskrift2"/>
      </w:pPr>
      <w:r>
        <w:t xml:space="preserve">Authorization</w:t>
      </w:r>
    </w:p>
    <w:bookmarkStart w:id="41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30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1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1"/>
    <w:bookmarkStart w:id="32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2"/>
    <w:bookmarkStart w:id="33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3"/>
    <w:bookmarkStart w:id="34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4"/>
    <w:bookmarkStart w:id="35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5"/>
    <w:bookmarkStart w:id="36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5845"/>
        <w:gridCol w:w="75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APGL-FISO001</w:t>
            </w:r>
          </w:p>
        </w:tc>
        <w:tc>
          <w:tcPr/>
          <w:p>
            <w:pPr>
              <w:pStyle w:val="Compact"/>
            </w:pPr>
            <w:r>
              <w:t xml:space="preserve">Create, read and update all accounting point grid locations.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APGL-FISO002</w:t>
            </w:r>
          </w:p>
        </w:tc>
        <w:tc>
          <w:tcPr/>
          <w:p>
            <w:pPr>
              <w:pStyle w:val="Compact"/>
            </w:pPr>
            <w:r>
              <w:t xml:space="preserve">Read all accounting point grid location history.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7"/>
    <w:bookmarkStart w:id="38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1"/>
        <w:gridCol w:w="6466"/>
        <w:gridCol w:w="58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APGL-SO001</w:t>
            </w:r>
          </w:p>
        </w:tc>
        <w:tc>
          <w:tcPr/>
          <w:p>
            <w:pPr>
              <w:pStyle w:val="Compact"/>
            </w:pPr>
            <w:r>
              <w:t xml:space="preserve">Create, read and update accounting point grid locations where they are CSO, ISO or PSO.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APGL-SO002</w:t>
            </w:r>
          </w:p>
        </w:tc>
        <w:tc>
          <w:tcPr/>
          <w:p>
            <w:pPr>
              <w:pStyle w:val="Compact"/>
            </w:pPr>
            <w:r>
              <w:t xml:space="preserve">Read history on accounting point grid locations where they are CSO, ISO or PSO.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8"/>
    <w:bookmarkStart w:id="39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9"/>
    <w:bookmarkStart w:id="40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0"/>
    <w:bookmarkEnd w:id="41"/>
    <w:bookmarkStart w:id="43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2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37"/>
        <w:gridCol w:w="709"/>
        <w:gridCol w:w="591"/>
        <w:gridCol w:w="472"/>
        <w:gridCol w:w="472"/>
        <w:gridCol w:w="709"/>
        <w:gridCol w:w="591"/>
        <w:gridCol w:w="472"/>
        <w:gridCol w:w="472"/>
        <w:gridCol w:w="59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object_type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nominal_voltage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additional_information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quality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3"/>
    <w:bookmarkEnd w:id="44"/>
    <w:bookmarkEnd w:id="45"/>
    <w:sectPr w:rsidR="009442C3" w:rsidRPr="00525A1A" w:rsidSect="00D07A8F">
      <w:headerReference r:id="rId9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22" Target="../api/v1/index.html#/operations/list_accounting_point_grid_location" TargetMode="External" /><Relationship Type="http://schemas.openxmlformats.org/officeDocument/2006/relationships/hyperlink" Id="rId42" Target="../auth/authn-model.md#party-market-actors" TargetMode="External" /><Relationship Type="http://schemas.openxmlformats.org/officeDocument/2006/relationships/hyperlink" Id="rId30" Target="../auth/authz-model.md#resource-level-authorization-rla" TargetMode="External" /><Relationship Type="http://schemas.openxmlformats.org/officeDocument/2006/relationships/hyperlink" Id="rId23" Target="../download/accounting_point_grid_location.docx" TargetMode="External" /><Relationship Type="http://schemas.openxmlformats.org/officeDocument/2006/relationships/hyperlink" Id="rId21" Target="../technical/accounting-point-grid-location.md" TargetMode="External" /><Relationship Type="http://schemas.openxmlformats.org/officeDocument/2006/relationships/hyperlink" Id="rId25" Target="accounting_point.md#field-id" TargetMode="External" /><Relationship Type="http://schemas.openxmlformats.org/officeDocument/2006/relationships/hyperlink" Id="rId20" Target="https://nemo.elbits.no/modell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api/v1/index.html#/operations/list_accounting_point_grid_location" TargetMode="External" /><Relationship Type="http://schemas.openxmlformats.org/officeDocument/2006/relationships/hyperlink" Id="rId42" Target="../auth/authn-model.md#party-market-actors" TargetMode="External" /><Relationship Type="http://schemas.openxmlformats.org/officeDocument/2006/relationships/hyperlink" Id="rId30" Target="../auth/authz-model.md#resource-level-authorization-rla" TargetMode="External" /><Relationship Type="http://schemas.openxmlformats.org/officeDocument/2006/relationships/hyperlink" Id="rId23" Target="../download/accounting_point_grid_location.docx" TargetMode="External" /><Relationship Type="http://schemas.openxmlformats.org/officeDocument/2006/relationships/hyperlink" Id="rId21" Target="../technical/accounting-point-grid-location.md" TargetMode="External" /><Relationship Type="http://schemas.openxmlformats.org/officeDocument/2006/relationships/hyperlink" Id="rId25" Target="accounting_point.md#field-id" TargetMode="External" /><Relationship Type="http://schemas.openxmlformats.org/officeDocument/2006/relationships/hyperlink" Id="rId20" Target="https://nemo.elbits.no/modell/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2026-06-09T08:32:17Z</dcterms:created>
  <dcterms:modified xsi:type="dcterms:W3CDTF">2026-06-09T08:32:17Z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