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controllable-unit-suspension"/>
    <w:p>
      <w:pPr>
        <w:pStyle w:val="Overskrift1"/>
      </w:pPr>
      <w:r>
        <w:t xml:space="preserve">Controllable Unit Suspension</w:t>
      </w:r>
    </w:p>
    <w:p>
      <w:pPr>
        <w:pStyle w:val="FirstParagraph"/>
      </w:pPr>
      <w:r>
        <w:t xml:space="preserve">The relation allowing an impacted system operator to temporarily suspend a</w:t>
      </w:r>
      <w:r>
        <w:t xml:space="preserve"> </w:t>
      </w:r>
      <w:r>
        <w:t xml:space="preserve">controllable unit.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63"/>
        <w:gridCol w:w="1788"/>
        <w:gridCol w:w="2090"/>
        <w:gridCol w:w="12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  <w:r>
              <w:t xml:space="preserve">Reference to the suspended controllable unit.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controllable_unit.id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impacted system operator suspending the controllable unit.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Non-updatable</w:t>
            </w:r>
            <w:r>
              <w:t xml:space="preserve">Defaults to the system operator creating the resource.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  <w:r>
              <w:t xml:space="preserve">The reason for the suspension.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compromises_safe_operation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other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30"/>
        <w:gridCol w:w="5668"/>
        <w:gridCol w:w="6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CUS-VAL001</w:t>
            </w:r>
          </w:p>
        </w:tc>
        <w:tc>
          <w:tcPr/>
          <w:p>
            <w:pPr>
              <w:pStyle w:val="Compact"/>
            </w:pPr>
            <w:r>
              <w:t xml:space="preserve">Controllable units can only be suspended when their status is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CUS-VAL002</w:t>
            </w:r>
          </w:p>
        </w:tc>
        <w:tc>
          <w:tcPr/>
          <w:p>
            <w:pPr>
              <w:pStyle w:val="Compact"/>
            </w:pPr>
            <w:r>
              <w:t xml:space="preserve">ISO can only have one active suspension per controllable unit.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28"/>
        <w:gridCol w:w="792"/>
        <w:gridCol w:w="54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Service provider with current contract to the suspended controllable unit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All ISOs and PSOs</w:t>
            </w:r>
          </w:p>
        </w:tc>
      </w:tr>
    </w:tbl>
    <w:bookmarkEnd w:id="27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CUS-FISO001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all CUS.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CUS-FISO002</w:t>
            </w:r>
          </w:p>
        </w:tc>
        <w:tc>
          <w:tcPr/>
          <w:p>
            <w:pPr>
              <w:pStyle w:val="Compact"/>
            </w:pPr>
            <w:r>
              <w:t xml:space="preserve">Read all CUS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38"/>
        <w:gridCol w:w="5689"/>
        <w:gridCol w:w="8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their own CUS.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CUS-SO002</w:t>
            </w:r>
          </w:p>
        </w:tc>
        <w:tc>
          <w:tcPr/>
          <w:p>
            <w:pPr>
              <w:pStyle w:val="Compact"/>
            </w:pPr>
            <w:r>
              <w:t xml:space="preserve">Read history on their own CUS.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CUS-SO003</w:t>
            </w:r>
          </w:p>
        </w:tc>
        <w:tc>
          <w:tcPr/>
          <w:p>
            <w:pPr>
              <w:pStyle w:val="Compact"/>
            </w:pPr>
            <w:r>
              <w:t xml:space="preserve">Read CUS targeted at CUs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CUS-SO004</w:t>
            </w:r>
          </w:p>
        </w:tc>
        <w:tc>
          <w:tcPr/>
          <w:p>
            <w:pPr>
              <w:pStyle w:val="Compact"/>
            </w:pPr>
            <w:r>
              <w:t xml:space="preserve">Read history on CUS targeted at CUs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80"/>
        <w:gridCol w:w="61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CUS-SP001</w:t>
            </w:r>
          </w:p>
        </w:tc>
        <w:tc>
          <w:tcPr/>
          <w:p>
            <w:pPr>
              <w:pStyle w:val="Compact"/>
            </w:pPr>
            <w:r>
              <w:t xml:space="preserve">Read CU suspensions overlapping with periods where they own the CU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CUS-SP002</w:t>
            </w:r>
          </w:p>
        </w:tc>
        <w:tc>
          <w:tcPr/>
          <w:p>
            <w:pPr>
              <w:pStyle w:val="Compact"/>
            </w:pPr>
            <w:r>
              <w:t xml:space="preserve">Read history on CU suspensions on periods where they own the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89"/>
        <w:gridCol w:w="659"/>
        <w:gridCol w:w="549"/>
        <w:gridCol w:w="439"/>
        <w:gridCol w:w="439"/>
        <w:gridCol w:w="659"/>
        <w:gridCol w:w="549"/>
        <w:gridCol w:w="439"/>
        <w:gridCol w:w="439"/>
        <w:gridCol w:w="5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controllable_unit_suspension" TargetMode="External" /><Relationship Type="http://schemas.openxmlformats.org/officeDocument/2006/relationships/hyperlink" Id="rId21" Target="../download/controllable_unit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controllable_unit_suspension" TargetMode="External" /><Relationship Type="http://schemas.openxmlformats.org/officeDocument/2006/relationships/hyperlink" Id="rId21" Target="../download/controllable_unit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