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entity-client"/>
    <w:p>
      <w:pPr>
        <w:pStyle w:val="Overskrift1"/>
      </w:pPr>
      <w:r>
        <w:t xml:space="preserve">Entity Client</w:t>
      </w:r>
    </w:p>
    <w:p>
      <w:pPr>
        <w:pStyle w:val="FirstParagraph"/>
      </w:pPr>
      <w:r>
        <w:t xml:space="preserve">This resource represents a client linked to an entity, to be used in the client</w:t>
      </w:r>
      <w:r>
        <w:t xml:space="preserve"> </w:t>
      </w:r>
      <w:r>
        <w:t xml:space="preserve">credentials and JWT grant authentication methods.</w:t>
      </w:r>
    </w:p>
    <w:p>
      <w:pPr>
        <w:pStyle w:val="BodyText"/>
      </w:pPr>
      <w:r>
        <w:t xml:space="preserve">The main purpose of this resource is to enable machine access to the API.</w:t>
      </w:r>
      <w:r>
        <w:t xml:space="preserve"> </w:t>
      </w:r>
      <w:r>
        <w:t xml:space="preserve">A program connecting to the API will use one of the clients present on the</w:t>
      </w:r>
      <w:r>
        <w:t xml:space="preserve"> </w:t>
      </w:r>
      <w:r>
        <w:t xml:space="preserve">entity.</w:t>
      </w:r>
      <w:r>
        <w:t xml:space="preserve"> </w:t>
      </w:r>
      <w:r>
        <w:t xml:space="preserve">It will thereby get the possibility to act as the party referenced in the</w:t>
      </w:r>
      <w:r>
        <w:t xml:space="preserve"> </w:t>
      </w:r>
      <w:r>
        <w:rPr>
          <w:rStyle w:val="VerbatimChar"/>
        </w:rPr>
        <w:t xml:space="preserve">party_id</w:t>
      </w:r>
      <w:r>
        <w:t xml:space="preserve"> </w:t>
      </w:r>
      <w:r>
        <w:t xml:space="preserve">field, with the authorisations listed in the client’s</w:t>
      </w:r>
      <w:r>
        <w:t xml:space="preserve"> </w:t>
      </w:r>
      <w:r>
        <w:rPr>
          <w:rStyle w:val="VerbatimChar"/>
        </w:rPr>
        <w:t xml:space="preserve">scopes</w:t>
      </w:r>
      <w:r>
        <w:t xml:space="preserve">.</w:t>
      </w:r>
    </w:p>
    <w:p>
      <w:pPr>
        <w:pStyle w:val="BodyText"/>
      </w:pPr>
      <w:r>
        <w:t xml:space="preserve">Entity clients are secured by a password in</w:t>
      </w:r>
      <w:r>
        <w:t xml:space="preserve"> </w:t>
      </w:r>
      <w:r>
        <w:rPr>
          <w:rStyle w:val="VerbatimChar"/>
        </w:rPr>
        <w:t xml:space="preserve">client_secret</w:t>
      </w:r>
      <w:r>
        <w:t xml:space="preserve"> </w:t>
      </w:r>
      <w:r>
        <w:t xml:space="preserve">or a</w:t>
      </w:r>
      <w:r>
        <w:t xml:space="preserve"> </w:t>
      </w:r>
      <w:r>
        <w:rPr>
          <w:rStyle w:val="VerbatimChar"/>
        </w:rPr>
        <w:t xml:space="preserve">public_key</w:t>
      </w:r>
      <w:r>
        <w:t xml:space="preserve"> </w:t>
      </w:r>
      <w:r>
        <w:t xml:space="preserve">associated to the private key JWTs sent to the JWT grant authentication will</w:t>
      </w:r>
      <w:r>
        <w:t xml:space="preserve"> </w:t>
      </w:r>
      <w:r>
        <w:t xml:space="preserve">be signed with.</w:t>
      </w:r>
    </w:p>
    <w:p>
      <w:pPr>
        <w:pStyle w:val="BodyText"/>
      </w:pPr>
      <w:r>
        <w:t xml:space="preserve">An entity can have several clients registered, typically an organisation entity</w:t>
      </w:r>
      <w:r>
        <w:t xml:space="preserve"> </w:t>
      </w:r>
      <w:r>
        <w:t xml:space="preserve">with one client per enterprise machine expected to use the API in an automated</w:t>
      </w:r>
      <w:r>
        <w:t xml:space="preserve"> </w:t>
      </w:r>
      <w:r>
        <w:t xml:space="preserve">way.</w:t>
      </w:r>
    </w:p>
    <w:bookmarkStart w:id="20" w:name="example"/>
    <w:p>
      <w:pPr>
        <w:pStyle w:val="Overskrift2"/>
      </w:pPr>
      <w:r>
        <w:t xml:space="preserve">Example</w:t>
      </w:r>
    </w:p>
    <w:p>
      <w:pPr>
        <w:pStyle w:val="FirstParagraph"/>
      </w:pPr>
      <w:r>
        <w:t xml:space="preserve">Let us take the case of a system operator organisation called</w:t>
      </w:r>
      <w:r>
        <w:t xml:space="preserve"> </w:t>
      </w:r>
      <w:r>
        <w:t xml:space="preserve">“Testnett AS”</w:t>
      </w:r>
      <w:r>
        <w:t xml:space="preserve">.</w:t>
      </w:r>
      <w:r>
        <w:t xml:space="preserve"> </w:t>
      </w:r>
      <w:r>
        <w:t xml:space="preserve">They have an organisation entity registered in the FIS and a party of type</w:t>
      </w:r>
      <w:r>
        <w:t xml:space="preserve"> </w:t>
      </w:r>
      <w:r>
        <w:rPr>
          <w:rStyle w:val="VerbatimChar"/>
        </w:rPr>
        <w:t xml:space="preserve">system_operator</w:t>
      </w:r>
      <w:r>
        <w:t xml:space="preserve"> </w:t>
      </w:r>
      <w:r>
        <w:t xml:space="preserve">to be able to act in the system accordingly.</w:t>
      </w:r>
    </w:p>
    <w:p>
      <w:pPr>
        <w:pStyle w:val="BodyText"/>
      </w:pPr>
      <w:r>
        <w:t xml:space="preserve">Imagine they want to allow API access to one of their data engineers, not to</w:t>
      </w:r>
      <w:r>
        <w:t xml:space="preserve"> </w:t>
      </w:r>
      <w:r>
        <w:t xml:space="preserve">interact with the system, but just to perform some data analytics.</w:t>
      </w:r>
      <w:r>
        <w:t xml:space="preserve"> </w:t>
      </w:r>
      <w:r>
        <w:t xml:space="preserve">This is possible by creating an entity client:</w:t>
      </w:r>
    </w:p>
    <w:p>
      <w:pPr>
        <w:pStyle w:val="Compact"/>
        <w:numPr>
          <w:ilvl w:val="0"/>
          <w:numId w:val="1001"/>
        </w:numPr>
      </w:pPr>
      <w:r>
        <w:t xml:space="preserve">tied to the organisation entity (</w:t>
      </w:r>
      <w:r>
        <w:rPr>
          <w:rStyle w:val="VerbatimChar"/>
        </w:rPr>
        <w:t xml:space="preserve">entity_id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allowing access to the SO party (</w:t>
      </w:r>
      <w:r>
        <w:rPr>
          <w:rStyle w:val="VerbatimChar"/>
        </w:rPr>
        <w:t xml:space="preserve">party_id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with read-only</w:t>
      </w:r>
      <w:r>
        <w:t xml:space="preserve"> </w:t>
      </w:r>
      <w:r>
        <w:rPr>
          <w:rStyle w:val="VerbatimChar"/>
        </w:rPr>
        <w:t xml:space="preserve">scopes</w:t>
      </w:r>
      <w:r>
        <w:t xml:space="preserve"> </w:t>
      </w:r>
      <w:r>
        <w:t xml:space="preserve">to make sure the data engineer does not edit any</w:t>
      </w:r>
      <w:r>
        <w:t xml:space="preserve"> </w:t>
      </w:r>
      <w:r>
        <w:t xml:space="preserve">data currently in use (for instance</w:t>
      </w:r>
      <w:r>
        <w:t xml:space="preserve"> </w:t>
      </w:r>
      <w:r>
        <w:rPr>
          <w:rStyle w:val="VerbatimChar"/>
        </w:rPr>
        <w:t xml:space="preserve">read:data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with a public key freshly generated in</w:t>
      </w:r>
      <w:r>
        <w:t xml:space="preserve"> </w:t>
      </w:r>
      <w:r>
        <w:rPr>
          <w:rStyle w:val="VerbatimChar"/>
        </w:rPr>
        <w:t xml:space="preserve">public_key</w:t>
      </w:r>
      <w:r>
        <w:t xml:space="preserve"> </w:t>
      </w:r>
      <w:r>
        <w:t xml:space="preserve">(the private key will be</w:t>
      </w:r>
      <w:r>
        <w:t xml:space="preserve"> </w:t>
      </w:r>
      <w:r>
        <w:t xml:space="preserve">given to the data engineer).</w:t>
      </w:r>
    </w:p>
    <w:p>
      <w:pPr>
        <w:pStyle w:val="FirstParagraph"/>
      </w:pPr>
      <w:r>
        <w:t xml:space="preserve">Then, the target person will just have to use the JWT grant authentication</w:t>
      </w:r>
      <w:r>
        <w:t xml:space="preserve"> </w:t>
      </w:r>
      <w:r>
        <w:t xml:space="preserve">method with a JWT asking for access to the SO party through the entity client</w:t>
      </w:r>
      <w:r>
        <w:t xml:space="preserve"> </w:t>
      </w:r>
      <w:r>
        <w:t xml:space="preserve">they received (identified by</w:t>
      </w:r>
      <w:r>
        <w:t xml:space="preserve"> </w:t>
      </w:r>
      <w:r>
        <w:rPr>
          <w:rStyle w:val="VerbatimChar"/>
        </w:rPr>
        <w:t xml:space="preserve">client_id</w:t>
      </w:r>
      <w:r>
        <w:t xml:space="preserve"> </w:t>
      </w:r>
      <w:r>
        <w:t xml:space="preserve">in the JWT claims).</w:t>
      </w:r>
      <w:r>
        <w:t xml:space="preserve"> </w:t>
      </w:r>
      <w:r>
        <w:t xml:space="preserve">The JWT will have to be signed with the private key corresponding to the public</w:t>
      </w:r>
      <w:r>
        <w:t xml:space="preserve"> </w:t>
      </w:r>
      <w:r>
        <w:t xml:space="preserve">key stored in the entity client.</w:t>
      </w:r>
    </w:p>
    <w:bookmarkEnd w:id="20"/>
    <w:bookmarkStart w:id="23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2"/>
        </w:numPr>
      </w:pPr>
      <w:hyperlink r:id="rId22">
        <w:r>
          <w:rPr>
            <w:rStyle w:val="Hyperkobling"/>
          </w:rPr>
          <w:t xml:space="preserve">Download docx</w:t>
        </w:r>
      </w:hyperlink>
    </w:p>
    <w:bookmarkEnd w:id="23"/>
    <w:bookmarkStart w:id="26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68"/>
        <w:gridCol w:w="4657"/>
        <w:gridCol w:w="1593"/>
        <w:gridCol w:w="5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entity_id</w:t>
            </w:r>
          </w:p>
        </w:tc>
        <w:tc>
          <w:tcPr/>
          <w:p>
            <w:pPr>
              <w:pStyle w:val="Compact"/>
            </w:pPr>
            <w:r>
              <w:t xml:space="preserve">Reference to the entity that this client is attached to.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entity.id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Name of the client.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256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client_id</w:t>
            </w:r>
          </w:p>
        </w:tc>
        <w:tc>
          <w:tcPr/>
          <w:p>
            <w:pPr>
              <w:pStyle w:val="Compact"/>
            </w:pPr>
            <w:r>
              <w:t xml:space="preserve">The identifier of the entity. For use with client credentials authentication method.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  <w:r>
              <w:t xml:space="preserve">Reference to the party this client allows to assume. A null value means the client cannot assume any party.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scopes</w:t>
            </w:r>
          </w:p>
        </w:tc>
        <w:tc>
          <w:tcPr/>
          <w:p>
            <w:pPr>
              <w:pStyle w:val="Compact"/>
            </w:pPr>
            <w:r>
              <w:t xml:space="preserve">List of scopes granted to the user when it logs in as an entity or when it acts as the party. When assuming a party through party membership, the least privileged set of scopes will be kept.</w:t>
            </w:r>
            <w:r>
              <w:t xml:space="preserve">Scopes are inspired from OAuth 2.0 and allow refinement of access control and privilege delegation mechanisms.</w:t>
            </w:r>
          </w:p>
        </w:tc>
        <w:tc>
          <w:tcPr/>
          <w:p>
            <w:pPr>
              <w:pStyle w:val="Compact"/>
            </w:pPr>
            <w:r>
              <w:t xml:space="preserve">Required</w:t>
            </w:r>
            <w:r>
              <w:t xml:space="preserve">Array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client_secret</w:t>
            </w:r>
          </w:p>
        </w:tc>
        <w:tc>
          <w:tcPr/>
          <w:p>
            <w:pPr>
              <w:pStyle w:val="Compact"/>
            </w:pPr>
            <w:r>
              <w:t xml:space="preserve">The secret of the entity. For use with client credentials authentication method. Input as plain text but stored encrypted.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Min length:</w:t>
            </w:r>
            <w:r>
              <w:t xml:space="preserve"> </w:t>
            </w:r>
            <w:r>
              <w:rPr>
                <w:rStyle w:val="VerbatimChar"/>
              </w:rPr>
              <w:t xml:space="preserve">12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public_key</w:t>
            </w:r>
          </w:p>
        </w:tc>
        <w:tc>
          <w:tcPr/>
          <w:p>
            <w:pPr>
              <w:pStyle w:val="Compact"/>
            </w:pPr>
            <w:r>
              <w:t xml:space="preserve">The public key of the entity (X.509 SubjectPublicKeyInfo). For use with JWT grant authentication method.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Pattern:</w:t>
            </w:r>
            <w:r>
              <w:t xml:space="preserve"> </w:t>
            </w:r>
            <w:r>
              <w:rPr>
                <w:rStyle w:val="VerbatimChar"/>
              </w:rPr>
              <w:t xml:space="preserve">^-----BEGIN PUBLIC KEY-----\nMIIB[-A-Za-z0-9+/\n]*={0,3}\n-----END PUBLIC KEY-----$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07"/>
        <w:gridCol w:w="5423"/>
        <w:gridCol w:w="6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ECL-VAL001</w:t>
            </w:r>
          </w:p>
        </w:tc>
        <w:tc>
          <w:tcPr/>
          <w:p>
            <w:pPr>
              <w:pStyle w:val="Compact"/>
            </w:pPr>
            <w:r>
              <w:t xml:space="preserve">Entity clients can only target a party the entity can assume.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7"/>
    <w:bookmarkStart w:id="28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8"/>
    <w:bookmarkStart w:id="44" w:name="authorization"/>
    <w:p>
      <w:pPr>
        <w:pStyle w:val="Overskrift2"/>
      </w:pPr>
      <w:r>
        <w:t xml:space="preserve">Authorization</w:t>
      </w:r>
    </w:p>
    <w:bookmarkStart w:id="41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9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entity"/>
    <w:p>
      <w:pPr>
        <w:pStyle w:val="Overskrift4"/>
      </w:pPr>
      <w:r>
        <w:t xml:space="preserve">Entity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5720"/>
        <w:gridCol w:w="8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ECL-ENT001</w:t>
            </w:r>
          </w:p>
        </w:tc>
        <w:tc>
          <w:tcPr/>
          <w:p>
            <w:pPr>
              <w:pStyle w:val="Compact"/>
            </w:pPr>
            <w:r>
              <w:t xml:space="preserve">Read, create, update and delete their own clients.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1"/>
    <w:bookmarkStart w:id="32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2"/>
    <w:bookmarkStart w:id="33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3"/>
    <w:bookmarkStart w:id="34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4"/>
    <w:bookmarkStart w:id="35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5"/>
    <w:bookmarkStart w:id="36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ECL-FISO001</w:t>
            </w:r>
          </w:p>
        </w:tc>
        <w:tc>
          <w:tcPr/>
          <w:p>
            <w:pPr>
              <w:pStyle w:val="Compact"/>
            </w:pPr>
            <w:r>
              <w:t xml:space="preserve">Read all clients.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organisation"/>
    <w:p>
      <w:pPr>
        <w:pStyle w:val="Overskrift4"/>
      </w:pPr>
      <w:r>
        <w:t xml:space="preserve">Organisation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54"/>
        <w:gridCol w:w="6662"/>
        <w:gridCol w:w="5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ECL-ORG001</w:t>
            </w:r>
          </w:p>
        </w:tc>
        <w:tc>
          <w:tcPr/>
          <w:p>
            <w:pPr>
              <w:pStyle w:val="Compact"/>
            </w:pPr>
            <w:r>
              <w:t xml:space="preserve">Read clients on the entity owning the organisation party.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ECL-ORG002</w:t>
            </w:r>
          </w:p>
        </w:tc>
        <w:tc>
          <w:tcPr/>
          <w:p>
            <w:pPr>
              <w:pStyle w:val="Compact"/>
            </w:pPr>
            <w:r>
              <w:t xml:space="preserve">Create, update and delete clients on the entity owning the organisation party, when the user is a human.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8"/>
    <w:bookmarkStart w:id="39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9"/>
    <w:bookmarkStart w:id="40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0"/>
    <w:bookmarkEnd w:id="41"/>
    <w:bookmarkStart w:id="43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2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entity_id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client_id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scopes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client_secret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public_key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</w:tbl>
    <w:bookmarkEnd w:id="43"/>
    <w:bookmarkEnd w:id="44"/>
    <w:bookmarkEnd w:id="45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1" Target="../api/v0/index.html#/operations/list_entity_client" TargetMode="External" /><Relationship Type="http://schemas.openxmlformats.org/officeDocument/2006/relationships/hyperlink" Id="rId22" Target="../download/entity_client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4" Target="entity.md#field-id" TargetMode="External" /><Relationship Type="http://schemas.openxmlformats.org/officeDocument/2006/relationships/hyperlink" Id="rId25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pi/v0/index.html#/operations/list_entity_client" TargetMode="External" /><Relationship Type="http://schemas.openxmlformats.org/officeDocument/2006/relationships/hyperlink" Id="rId22" Target="../download/entity_client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4" Target="entity.md#field-id" TargetMode="External" /><Relationship Type="http://schemas.openxmlformats.org/officeDocument/2006/relationships/hyperlink" Id="rId25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2026-02-27T13:08:27Z</dcterms:created>
  <dcterms:modified xsi:type="dcterms:W3CDTF">2026-02-27T13:08:27Z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