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2" w:name="event"/>
    <w:p>
      <w:pPr>
        <w:pStyle w:val="Overskrift1"/>
      </w:pPr>
      <w:r>
        <w:t xml:space="preserve">Event</w:t>
      </w:r>
    </w:p>
    <w:p>
      <w:pPr>
        <w:pStyle w:val="FirstParagraph"/>
      </w:pPr>
      <w:r>
        <w:t xml:space="preserve">An event happening in the system.</w:t>
      </w:r>
    </w:p>
    <w:bookmarkStart w:id="22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Download docx</w:t>
        </w:r>
      </w:hyperlink>
    </w:p>
    <w:bookmarkEnd w:id="22"/>
    <w:bookmarkStart w:id="23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88"/>
        <w:gridCol w:w="2069"/>
        <w:gridCol w:w="3900"/>
        <w:gridCol w:w="26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specversion</w:t>
            </w:r>
          </w:p>
        </w:tc>
        <w:tc>
          <w:tcPr/>
          <w:p>
            <w:pPr>
              <w:pStyle w:val="Compact"/>
            </w:pPr>
            <w:r>
              <w:t xml:space="preserve">The version of the CloudEvents specification followed by the resource.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time</w:t>
            </w:r>
          </w:p>
        </w:tc>
        <w:tc>
          <w:tcPr/>
          <w:p>
            <w:pPr>
              <w:pStyle w:val="Compact"/>
            </w:pPr>
            <w:r>
              <w:t xml:space="preserve">The time at which the event was generated.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The type of the event.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Pattern:</w:t>
            </w:r>
            <w:r>
              <w:t xml:space="preserve"> </w:t>
            </w:r>
            <w:r>
              <w:rPr>
                <w:rStyle w:val="VerbatimChar"/>
              </w:rPr>
              <w:t xml:space="preserve">^no.elhub.flex.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The URI of the resource concerned by the event.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Pattern:</w:t>
            </w:r>
            <w:r>
              <w:t xml:space="preserve"> </w:t>
            </w:r>
            <w:r>
              <w:rPr>
                <w:rStyle w:val="VerbatimChar"/>
              </w:rPr>
              <w:t xml:space="preserve">^(\/([a-z][a-z_]*\|[0-9]+))+$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subject</w:t>
            </w:r>
          </w:p>
        </w:tc>
        <w:tc>
          <w:tcPr/>
          <w:p>
            <w:pPr>
              <w:pStyle w:val="Compact"/>
            </w:pPr>
            <w:r>
              <w:t xml:space="preserve">The URI of the specific subject of the event within the resource pointed by</w:t>
            </w:r>
            <w:r>
              <w:t xml:space="preserve"> </w:t>
            </w:r>
            <w:r>
              <w:rPr>
                <w:rStyle w:val="VerbatimChar"/>
              </w:rPr>
              <w:t xml:space="preserve">source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Read only</w:t>
            </w:r>
            <w:r>
              <w:t xml:space="preserve">Used in cases where an event happens on a subresource, but we still want to consider it as an event on the main resource, for clarity.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  <w:r>
              <w:t xml:space="preserve">The data of the event.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3"/>
    <w:bookmarkStart w:id="24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4"/>
    <w:bookmarkStart w:id="25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5"/>
    <w:bookmarkStart w:id="41" w:name="authorization"/>
    <w:p>
      <w:pPr>
        <w:pStyle w:val="Overskrift2"/>
      </w:pPr>
      <w:r>
        <w:t xml:space="preserve">Authorization</w:t>
      </w:r>
    </w:p>
    <w:bookmarkStart w:id="38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6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7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27"/>
    <w:bookmarkStart w:id="28" w:name="entity"/>
    <w:p>
      <w:pPr>
        <w:pStyle w:val="Overskrift4"/>
      </w:pPr>
      <w:r>
        <w:t xml:space="preserve">Entity</w:t>
      </w:r>
    </w:p>
    <w:p>
      <w:pPr>
        <w:pStyle w:val="FirstParagraph"/>
      </w:pPr>
      <w:r>
        <w:t xml:space="preserve">No policies.</w:t>
      </w:r>
    </w:p>
    <w:bookmarkEnd w:id="28"/>
    <w:bookmarkStart w:id="29" w:name="common"/>
    <w:p>
      <w:pPr>
        <w:pStyle w:val="Overskrift4"/>
      </w:pPr>
      <w:r>
        <w:t xml:space="preserve">Common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76"/>
        <w:gridCol w:w="6228"/>
        <w:gridCol w:w="61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EVENT-COM001</w:t>
            </w:r>
          </w:p>
        </w:tc>
        <w:tc>
          <w:tcPr/>
          <w:p>
            <w:pPr>
              <w:pStyle w:val="Compact"/>
            </w:pPr>
            <w:r>
              <w:t xml:space="preserve">Read events related to a resource that they could read when the event happened.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29"/>
    <w:bookmarkStart w:id="30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0"/>
    <w:bookmarkStart w:id="31" w:name="end-user"/>
    <w:p>
      <w:pPr>
        <w:pStyle w:val="Overskrift4"/>
      </w:pPr>
      <w:r>
        <w:t xml:space="preserve">End User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07"/>
        <w:gridCol w:w="6131"/>
        <w:gridCol w:w="68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EVENT-EU001</w:t>
            </w:r>
          </w:p>
        </w:tc>
        <w:tc>
          <w:tcPr/>
          <w:p>
            <w:pPr>
              <w:pStyle w:val="Compact"/>
            </w:pPr>
            <w:r>
              <w:t xml:space="preserve">Read events related to controllable units when they are EU on the AP.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EVENT-EU002</w:t>
            </w:r>
          </w:p>
        </w:tc>
        <w:tc>
          <w:tcPr/>
          <w:p>
            <w:pPr>
              <w:pStyle w:val="Compact"/>
            </w:pPr>
            <w:r>
              <w:t xml:space="preserve">Read events related to CUSP when they are EU on the AP.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EVENT-EU003</w:t>
            </w:r>
          </w:p>
        </w:tc>
        <w:tc>
          <w:tcPr/>
          <w:p>
            <w:pPr>
              <w:pStyle w:val="Compact"/>
            </w:pPr>
            <w:r>
              <w:t xml:space="preserve">Read events related to technical resources when they are EU on the AP.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1"/>
    <w:bookmarkStart w:id="32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2"/>
    <w:bookmarkStart w:id="33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EVENT-FISO001</w:t>
            </w:r>
          </w:p>
        </w:tc>
        <w:tc>
          <w:tcPr/>
          <w:p>
            <w:pPr>
              <w:pStyle w:val="Compact"/>
            </w:pPr>
            <w:r>
              <w:t xml:space="preserve">Read all events.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3"/>
    <w:bookmarkStart w:id="34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4"/>
    <w:bookmarkStart w:id="35" w:name="system-operator"/>
    <w:p>
      <w:pPr>
        <w:pStyle w:val="Overskrift4"/>
      </w:pPr>
      <w:r>
        <w:t xml:space="preserve">System Operator</w:t>
      </w:r>
    </w:p>
    <w:p>
      <w:pPr>
        <w:pStyle w:val="FirstParagraph"/>
      </w:pPr>
      <w:r>
        <w:t xml:space="preserve">No policies.</w:t>
      </w:r>
    </w:p>
    <w:bookmarkEnd w:id="35"/>
    <w:bookmarkStart w:id="36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6"/>
    <w:bookmarkStart w:id="37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7"/>
    <w:bookmarkEnd w:id="38"/>
    <w:bookmarkStart w:id="40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39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specversion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time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subject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End w:id="41"/>
    <w:bookmarkEnd w:id="42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0" Target="../api/v0/index.html#/operations/list_event" TargetMode="External" /><Relationship Type="http://schemas.openxmlformats.org/officeDocument/2006/relationships/hyperlink" Id="rId21" Target="../download/event.docx" TargetMode="External" /><Relationship Type="http://schemas.openxmlformats.org/officeDocument/2006/relationships/hyperlink" Id="rId39" Target="../technical/auth/authn-model.md#party-market-actors" TargetMode="External" /><Relationship Type="http://schemas.openxmlformats.org/officeDocument/2006/relationships/hyperlink" Id="rId26" Target="../technical/auth/authz-model.md#resource-level-authorization-rl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pi/v0/index.html#/operations/list_event" TargetMode="External" /><Relationship Type="http://schemas.openxmlformats.org/officeDocument/2006/relationships/hyperlink" Id="rId21" Target="../download/event.docx" TargetMode="External" /><Relationship Type="http://schemas.openxmlformats.org/officeDocument/2006/relationships/hyperlink" Id="rId39" Target="../technical/auth/authn-model.md#party-market-actors" TargetMode="External" /><Relationship Type="http://schemas.openxmlformats.org/officeDocument/2006/relationships/hyperlink" Id="rId26" Target="../technical/auth/authz-model.md#resource-level-authorization-rla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2026-02-27T13:08:26Z</dcterms:created>
  <dcterms:modified xsi:type="dcterms:W3CDTF">2026-02-27T13:08:26Z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